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B6B5" w14:textId="4659DC39" w:rsidR="00543217" w:rsidRPr="00543217" w:rsidRDefault="00543217" w:rsidP="00543217">
      <w:pPr>
        <w:spacing w:line="276" w:lineRule="auto"/>
        <w:jc w:val="both"/>
        <w:rPr>
          <w:rFonts w:ascii="Arial" w:eastAsia="Arial" w:hAnsi="Arial" w:cs="Arial"/>
          <w:b/>
          <w:bCs/>
          <w:kern w:val="0"/>
          <w:u w:val="single"/>
          <w14:ligatures w14:val="none"/>
        </w:rPr>
      </w:pPr>
      <w:r>
        <w:rPr>
          <w:rFonts w:ascii="Arial" w:eastAsia="Arial" w:hAnsi="Arial" w:cs="Arial"/>
          <w:b/>
          <w:bCs/>
          <w:kern w:val="0"/>
          <w:u w:val="single"/>
          <w14:ligatures w14:val="none"/>
        </w:rPr>
        <w:t>FH</w:t>
      </w:r>
      <w:r w:rsidR="00C549F2">
        <w:rPr>
          <w:rFonts w:ascii="Arial" w:eastAsia="Arial" w:hAnsi="Arial" w:cs="Arial"/>
          <w:b/>
          <w:bCs/>
          <w:kern w:val="0"/>
          <w:u w:val="single"/>
          <w14:ligatures w14:val="none"/>
        </w:rPr>
        <w:t>S</w:t>
      </w:r>
      <w:r>
        <w:rPr>
          <w:rFonts w:ascii="Arial" w:eastAsia="Arial" w:hAnsi="Arial" w:cs="Arial"/>
          <w:b/>
          <w:bCs/>
          <w:kern w:val="0"/>
          <w:u w:val="single"/>
          <w14:ligatures w14:val="none"/>
        </w:rPr>
        <w:t xml:space="preserve">CW </w:t>
      </w:r>
      <w:r w:rsidRPr="00543217">
        <w:rPr>
          <w:rFonts w:ascii="Arial" w:eastAsia="Arial" w:hAnsi="Arial" w:cs="Arial"/>
          <w:b/>
          <w:bCs/>
          <w:kern w:val="0"/>
          <w:u w:val="single"/>
          <w14:ligatures w14:val="none"/>
        </w:rPr>
        <w:t>COVID-19 autumn 2025 programme advice (Reactive Q&amp;A</w:t>
      </w:r>
      <w:r w:rsidR="00132540">
        <w:rPr>
          <w:rFonts w:ascii="Arial" w:eastAsia="Arial" w:hAnsi="Arial" w:cs="Arial"/>
          <w:b/>
          <w:bCs/>
          <w:kern w:val="0"/>
          <w:u w:val="single"/>
          <w14:ligatures w14:val="none"/>
        </w:rPr>
        <w:t>s</w:t>
      </w:r>
      <w:r w:rsidRPr="00543217">
        <w:rPr>
          <w:rFonts w:ascii="Arial" w:eastAsia="Arial" w:hAnsi="Arial" w:cs="Arial"/>
          <w:b/>
          <w:bCs/>
          <w:kern w:val="0"/>
          <w:u w:val="single"/>
          <w14:ligatures w14:val="none"/>
        </w:rPr>
        <w:t xml:space="preserve">) </w:t>
      </w:r>
    </w:p>
    <w:p w14:paraId="747EE02F" w14:textId="77777777" w:rsidR="00543217" w:rsidRPr="00543217" w:rsidRDefault="00543217" w:rsidP="00543217">
      <w:pPr>
        <w:spacing w:before="240" w:after="240" w:line="240" w:lineRule="auto"/>
        <w:rPr>
          <w:rFonts w:ascii="Arial" w:eastAsia="Arial" w:hAnsi="Arial" w:cs="Arial"/>
          <w:kern w:val="0"/>
          <w14:ligatures w14:val="none"/>
        </w:rPr>
      </w:pPr>
      <w:r w:rsidRPr="00543217">
        <w:rPr>
          <w:rFonts w:ascii="Arial" w:eastAsia="Arial" w:hAnsi="Arial" w:cs="Arial"/>
          <w:b/>
          <w:bCs/>
          <w:kern w:val="0"/>
          <w:u w:val="single"/>
          <w14:ligatures w14:val="none"/>
        </w:rPr>
        <w:t xml:space="preserve">General </w:t>
      </w:r>
      <w:r w:rsidRPr="00543217">
        <w:rPr>
          <w:rFonts w:ascii="Arial" w:eastAsia="Arial" w:hAnsi="Arial" w:cs="Arial"/>
          <w:kern w:val="0"/>
          <w14:ligatures w14:val="none"/>
        </w:rPr>
        <w:t xml:space="preserve"> </w:t>
      </w:r>
    </w:p>
    <w:p w14:paraId="426B5EFD" w14:textId="028B0CDF" w:rsidR="00543217" w:rsidRDefault="00543217" w:rsidP="00543217">
      <w:pPr>
        <w:spacing w:after="0" w:line="240" w:lineRule="auto"/>
        <w:jc w:val="both"/>
        <w:rPr>
          <w:rFonts w:ascii="Arial" w:eastAsia="Arial" w:hAnsi="Arial" w:cs="Arial"/>
          <w:b/>
          <w:bCs/>
          <w:color w:val="000000"/>
          <w:kern w:val="0"/>
          <w:lang w:eastAsia="en-GB"/>
          <w14:ligatures w14:val="none"/>
        </w:rPr>
      </w:pPr>
      <w:r w:rsidRPr="00543217">
        <w:rPr>
          <w:rFonts w:ascii="Arial" w:eastAsia="Arial" w:hAnsi="Arial" w:cs="Arial"/>
          <w:b/>
          <w:bCs/>
          <w:color w:val="000000"/>
          <w:kern w:val="0"/>
          <w:lang w:eastAsia="en-GB"/>
          <w14:ligatures w14:val="none"/>
        </w:rPr>
        <w:t xml:space="preserve">What are the changes to COVID-19 vaccination eligibility for frontline health and social care workers and staff working in care homes for older adults in autumn 2025? </w:t>
      </w:r>
    </w:p>
    <w:p w14:paraId="7EC05454" w14:textId="77777777" w:rsidR="00543217" w:rsidRPr="00543217" w:rsidRDefault="00543217" w:rsidP="00543217">
      <w:pPr>
        <w:spacing w:after="0" w:line="240" w:lineRule="auto"/>
        <w:jc w:val="both"/>
        <w:rPr>
          <w:rFonts w:ascii="Arial" w:eastAsia="Arial" w:hAnsi="Arial" w:cs="Arial"/>
          <w:b/>
          <w:bCs/>
          <w:color w:val="000000"/>
          <w:kern w:val="0"/>
          <w:lang w:eastAsia="en-GB"/>
          <w14:ligatures w14:val="none"/>
        </w:rPr>
      </w:pPr>
    </w:p>
    <w:p w14:paraId="2C27E9C0" w14:textId="6172A620" w:rsidR="00543217" w:rsidRPr="0002097F" w:rsidRDefault="00543217" w:rsidP="00543217">
      <w:pPr>
        <w:numPr>
          <w:ilvl w:val="1"/>
          <w:numId w:val="1"/>
        </w:numPr>
        <w:spacing w:after="0" w:line="240" w:lineRule="auto"/>
        <w:contextualSpacing/>
        <w:jc w:val="both"/>
        <w:rPr>
          <w:rFonts w:ascii="Arial" w:eastAsia="Arial" w:hAnsi="Arial" w:cs="Arial"/>
          <w:color w:val="000000"/>
          <w:kern w:val="0"/>
          <w14:ligatures w14:val="none"/>
        </w:rPr>
      </w:pPr>
      <w:r w:rsidRPr="00543217">
        <w:rPr>
          <w:rFonts w:ascii="Arial" w:eastAsia="Arial" w:hAnsi="Arial" w:cs="Times New Roman"/>
          <w:color w:val="000000"/>
          <w:kern w:val="0"/>
          <w14:ligatures w14:val="none"/>
        </w:rPr>
        <w:t>In line with JCVI advice, frontline health and social care workers (</w:t>
      </w:r>
      <w:r w:rsidR="00C655AC">
        <w:rPr>
          <w:rFonts w:ascii="Arial" w:eastAsia="Arial" w:hAnsi="Arial" w:cs="Times New Roman"/>
          <w:color w:val="000000"/>
          <w:kern w:val="0"/>
          <w14:ligatures w14:val="none"/>
        </w:rPr>
        <w:t>F</w:t>
      </w:r>
      <w:r w:rsidRPr="00543217">
        <w:rPr>
          <w:rFonts w:ascii="Arial" w:eastAsia="Arial" w:hAnsi="Arial" w:cs="Times New Roman"/>
          <w:color w:val="000000"/>
          <w:kern w:val="0"/>
          <w14:ligatures w14:val="none"/>
        </w:rPr>
        <w:t>HSCW) and staff working in care homes for older adults will not be eligible for COVID-19 vaccination through the NHS in England in the autumn 2025 COVID-19 vaccination campaign.</w:t>
      </w:r>
    </w:p>
    <w:p w14:paraId="0C7CA9AF" w14:textId="77777777" w:rsidR="009E74CF" w:rsidRDefault="00543217" w:rsidP="009E74CF">
      <w:pPr>
        <w:numPr>
          <w:ilvl w:val="1"/>
          <w:numId w:val="1"/>
        </w:numPr>
        <w:spacing w:line="256" w:lineRule="auto"/>
        <w:contextualSpacing/>
        <w:jc w:val="both"/>
        <w:rPr>
          <w:rFonts w:ascii="Arial" w:eastAsia="Arial" w:hAnsi="Arial" w:cs="Times New Roman"/>
          <w:color w:val="000000"/>
          <w:kern w:val="0"/>
          <w14:ligatures w14:val="none"/>
        </w:rPr>
      </w:pPr>
      <w:r w:rsidRPr="00543217">
        <w:rPr>
          <w:rFonts w:ascii="Arial" w:eastAsia="Arial" w:hAnsi="Arial" w:cs="Times New Roman"/>
          <w:color w:val="000000"/>
          <w:kern w:val="0"/>
          <w14:ligatures w14:val="none"/>
        </w:rPr>
        <w:t>This is following an extensive review by JCVI of the scientific evidence surrounding the impact of vaccination on transmission of the virus from HSCWs to patients, protection of HSCWs against symptoms of the disease, and staff sickness absences. In the current era of high population immunity to COVID-19, additional COVID-19 doses provide very limited, if any, protection against infection and any subsequent onward transmission of infection. For HSCWs, this means that COVID-19 vaccination likely now has only a very limited impact on reducing staff sickness absence. Therefore, the focus of the programme is now on those at greatest risk of serious disease and who are therefore most likely to benefit from vaccination. </w:t>
      </w:r>
    </w:p>
    <w:p w14:paraId="53F66472" w14:textId="43E20C1E" w:rsidR="00543217" w:rsidRPr="00543217" w:rsidRDefault="00543217" w:rsidP="009E74CF">
      <w:pPr>
        <w:numPr>
          <w:ilvl w:val="1"/>
          <w:numId w:val="1"/>
        </w:numPr>
        <w:spacing w:line="256" w:lineRule="auto"/>
        <w:contextualSpacing/>
        <w:jc w:val="both"/>
        <w:rPr>
          <w:rFonts w:ascii="Arial" w:eastAsia="Arial" w:hAnsi="Arial" w:cs="Times New Roman"/>
          <w:color w:val="000000"/>
          <w:kern w:val="0"/>
          <w14:ligatures w14:val="none"/>
        </w:rPr>
      </w:pPr>
      <w:r w:rsidRPr="00543217">
        <w:rPr>
          <w:rFonts w:ascii="Arial" w:eastAsia="Arial" w:hAnsi="Arial" w:cs="Times New Roman"/>
          <w:color w:val="000000"/>
          <w:kern w:val="0"/>
          <w14:ligatures w14:val="none"/>
        </w:rPr>
        <w:t xml:space="preserve">Health and Social Care employers are free to make their own decisions on whether to offer any vaccination as an occupational health scheme (funded by the employer and subject to the employer being able to source </w:t>
      </w:r>
      <w:r w:rsidR="00F66218">
        <w:rPr>
          <w:rFonts w:ascii="Arial" w:eastAsia="Arial" w:hAnsi="Arial" w:cs="Times New Roman"/>
          <w:color w:val="000000"/>
          <w:kern w:val="0"/>
          <w14:ligatures w14:val="none"/>
        </w:rPr>
        <w:t>the vaccine through the</w:t>
      </w:r>
      <w:r w:rsidRPr="00543217">
        <w:rPr>
          <w:rFonts w:ascii="Arial" w:eastAsia="Arial" w:hAnsi="Arial" w:cs="Times New Roman"/>
          <w:color w:val="000000"/>
          <w:kern w:val="0"/>
          <w14:ligatures w14:val="none"/>
        </w:rPr>
        <w:t xml:space="preserve"> private sector). There would be no access to the NHS programme</w:t>
      </w:r>
      <w:r w:rsidR="00BA64F3">
        <w:rPr>
          <w:rFonts w:ascii="Arial" w:eastAsia="Arial" w:hAnsi="Arial" w:cs="Times New Roman"/>
          <w:color w:val="000000"/>
          <w:kern w:val="0"/>
          <w14:ligatures w14:val="none"/>
        </w:rPr>
        <w:t xml:space="preserve"> for FHSCW.</w:t>
      </w:r>
    </w:p>
    <w:p w14:paraId="2E785BC2" w14:textId="77777777" w:rsidR="00543217" w:rsidRPr="00543217" w:rsidRDefault="00543217" w:rsidP="00543217">
      <w:pPr>
        <w:spacing w:after="0" w:line="240" w:lineRule="auto"/>
        <w:jc w:val="both"/>
        <w:rPr>
          <w:rFonts w:ascii="Arial" w:eastAsia="Arial" w:hAnsi="Arial" w:cs="Arial"/>
          <w:color w:val="000000"/>
          <w:kern w:val="0"/>
          <w14:ligatures w14:val="none"/>
        </w:rPr>
      </w:pPr>
    </w:p>
    <w:p w14:paraId="06D72EFE" w14:textId="5110F550" w:rsidR="00543217" w:rsidRDefault="00543217" w:rsidP="0002097F">
      <w:pPr>
        <w:spacing w:after="0" w:line="240" w:lineRule="auto"/>
        <w:jc w:val="both"/>
        <w:rPr>
          <w:rFonts w:ascii="Arial" w:eastAsia="Arial" w:hAnsi="Arial" w:cs="Arial"/>
          <w:b/>
          <w:bCs/>
          <w:color w:val="000000"/>
          <w:kern w:val="0"/>
          <w14:ligatures w14:val="none"/>
        </w:rPr>
      </w:pPr>
      <w:r w:rsidRPr="00543217">
        <w:rPr>
          <w:rFonts w:ascii="Arial" w:eastAsia="Arial" w:hAnsi="Arial" w:cs="Arial"/>
          <w:b/>
          <w:bCs/>
          <w:color w:val="000000"/>
          <w:kern w:val="0"/>
          <w14:ligatures w14:val="none"/>
        </w:rPr>
        <w:t>Why were frontline health and social care workers still included in the autumn 2024 programme despite JCVI advice at the time?</w:t>
      </w:r>
    </w:p>
    <w:p w14:paraId="309DF559" w14:textId="77777777" w:rsidR="00543217" w:rsidRPr="00543217" w:rsidRDefault="00543217" w:rsidP="00543217">
      <w:pPr>
        <w:spacing w:after="0"/>
        <w:jc w:val="both"/>
        <w:rPr>
          <w:rFonts w:ascii="Arial" w:eastAsia="Arial" w:hAnsi="Arial" w:cs="Arial"/>
          <w:color w:val="000000"/>
          <w:kern w:val="0"/>
          <w:sz w:val="22"/>
          <w:szCs w:val="22"/>
          <w14:ligatures w14:val="none"/>
        </w:rPr>
      </w:pPr>
    </w:p>
    <w:p w14:paraId="08327CE6" w14:textId="42C5AB7E" w:rsidR="00543217" w:rsidRPr="00543217" w:rsidRDefault="00543217" w:rsidP="00C655AC">
      <w:pPr>
        <w:numPr>
          <w:ilvl w:val="1"/>
          <w:numId w:val="1"/>
        </w:numPr>
        <w:spacing w:line="256" w:lineRule="auto"/>
        <w:contextualSpacing/>
        <w:jc w:val="both"/>
        <w:rPr>
          <w:rFonts w:ascii="Arial" w:eastAsia="Arial" w:hAnsi="Arial" w:cs="Times New Roman"/>
          <w:color w:val="000000"/>
          <w:kern w:val="0"/>
          <w14:ligatures w14:val="none"/>
        </w:rPr>
      </w:pPr>
      <w:r w:rsidRPr="00543217">
        <w:rPr>
          <w:rFonts w:ascii="Arial" w:eastAsia="Arial" w:hAnsi="Arial" w:cs="Times New Roman"/>
          <w:color w:val="000000"/>
          <w:kern w:val="0"/>
          <w14:ligatures w14:val="none"/>
        </w:rPr>
        <w:t xml:space="preserve">In their advice for COVID-19 vaccination in autumn 2024, the JCVI noted that the Government may wish to consider whether vaccination provided as an occupational health programme was appropriate. </w:t>
      </w:r>
    </w:p>
    <w:p w14:paraId="13EE46FE" w14:textId="77777777" w:rsidR="00543217" w:rsidRPr="00543217" w:rsidRDefault="00543217" w:rsidP="00C655AC">
      <w:pPr>
        <w:numPr>
          <w:ilvl w:val="1"/>
          <w:numId w:val="1"/>
        </w:numPr>
        <w:spacing w:line="256" w:lineRule="auto"/>
        <w:contextualSpacing/>
        <w:jc w:val="both"/>
        <w:rPr>
          <w:rFonts w:ascii="Arial" w:eastAsia="Arial" w:hAnsi="Arial" w:cs="Times New Roman"/>
          <w:color w:val="000000"/>
          <w:kern w:val="0"/>
          <w14:ligatures w14:val="none"/>
        </w:rPr>
      </w:pPr>
      <w:r w:rsidRPr="00543217">
        <w:rPr>
          <w:rFonts w:ascii="Arial" w:eastAsia="Arial" w:hAnsi="Arial" w:cs="Times New Roman"/>
          <w:color w:val="000000"/>
          <w:kern w:val="0"/>
          <w14:ligatures w14:val="none"/>
        </w:rPr>
        <w:t xml:space="preserve">Recognising that the detailed process for considering and potentially establishing a new occupational health programme would not be feasible in time for autumn 2024, the JCVI suggested that ahead of such considerations, the Government and devolved nations may choose to continue to extend an offer of vaccination to frontline health and social care workers and staff working in care homes for older adults in autumn 2024. </w:t>
      </w:r>
    </w:p>
    <w:p w14:paraId="37264408" w14:textId="77777777" w:rsidR="00543217" w:rsidRPr="00543217" w:rsidRDefault="00543217" w:rsidP="001926AB">
      <w:pPr>
        <w:numPr>
          <w:ilvl w:val="1"/>
          <w:numId w:val="1"/>
        </w:numPr>
        <w:spacing w:after="0" w:line="256" w:lineRule="auto"/>
        <w:contextualSpacing/>
        <w:jc w:val="both"/>
        <w:rPr>
          <w:rFonts w:ascii="Arial" w:eastAsia="Arial" w:hAnsi="Arial" w:cs="Times New Roman"/>
          <w:color w:val="000000"/>
          <w:kern w:val="0"/>
          <w14:ligatures w14:val="none"/>
        </w:rPr>
      </w:pPr>
      <w:r w:rsidRPr="00543217">
        <w:rPr>
          <w:rFonts w:ascii="Arial" w:eastAsia="Arial" w:hAnsi="Arial" w:cs="Times New Roman"/>
          <w:color w:val="000000"/>
          <w:kern w:val="0"/>
          <w14:ligatures w14:val="none"/>
        </w:rPr>
        <w:t xml:space="preserve">On this basis, the Government decided to continue offering COVID-19 vaccination within the autumn 2024 national programme to frontline health and social care workers. </w:t>
      </w:r>
    </w:p>
    <w:p w14:paraId="3F3B29E6" w14:textId="4EA55BC7" w:rsidR="001926AB" w:rsidRPr="0002097F" w:rsidRDefault="0002097F" w:rsidP="001926AB">
      <w:pPr>
        <w:spacing w:before="240" w:line="240" w:lineRule="auto"/>
        <w:jc w:val="both"/>
        <w:rPr>
          <w:rFonts w:ascii="Arial" w:eastAsia="Arial" w:hAnsi="Arial" w:cs="Arial"/>
          <w:b/>
          <w:bCs/>
          <w:color w:val="000000"/>
          <w:kern w:val="0"/>
          <w14:ligatures w14:val="none"/>
        </w:rPr>
      </w:pPr>
      <w:r w:rsidRPr="0002097F">
        <w:rPr>
          <w:rFonts w:ascii="Arial" w:eastAsia="Arial" w:hAnsi="Arial" w:cs="Arial"/>
          <w:b/>
          <w:bCs/>
          <w:color w:val="000000"/>
          <w:kern w:val="0"/>
          <w14:ligatures w14:val="none"/>
        </w:rPr>
        <w:t>Will employers need to carry out a risk assessment to confirm decision-making on whether to offer the COVID-19 vaccine?</w:t>
      </w:r>
    </w:p>
    <w:p w14:paraId="74B12F37" w14:textId="259344E6" w:rsidR="0002097F" w:rsidRDefault="0002097F" w:rsidP="001926AB">
      <w:pPr>
        <w:numPr>
          <w:ilvl w:val="0"/>
          <w:numId w:val="5"/>
        </w:numPr>
        <w:spacing w:before="240" w:line="240" w:lineRule="auto"/>
        <w:contextualSpacing/>
        <w:jc w:val="both"/>
        <w:rPr>
          <w:rFonts w:ascii="Arial" w:eastAsia="Arial" w:hAnsi="Arial" w:cs="Times New Roman"/>
          <w:color w:val="000000"/>
          <w:kern w:val="0"/>
          <w14:ligatures w14:val="none"/>
        </w:rPr>
      </w:pPr>
      <w:r w:rsidRPr="0002097F">
        <w:rPr>
          <w:rFonts w:ascii="Arial" w:eastAsia="Arial" w:hAnsi="Arial" w:cs="Times New Roman"/>
          <w:color w:val="000000"/>
          <w:kern w:val="0"/>
          <w14:ligatures w14:val="none"/>
        </w:rPr>
        <w:t xml:space="preserve">There is no need for any additional risk assessment. Employers should continue to monitor all risks to health and wellbeing of staff in line with existing policy. </w:t>
      </w:r>
    </w:p>
    <w:p w14:paraId="7588D7FC" w14:textId="77777777" w:rsidR="001926AB" w:rsidRPr="0002097F" w:rsidRDefault="001926AB" w:rsidP="001926AB">
      <w:pPr>
        <w:spacing w:before="240" w:after="240" w:line="240" w:lineRule="auto"/>
        <w:ind w:left="1080"/>
        <w:contextualSpacing/>
        <w:jc w:val="both"/>
        <w:rPr>
          <w:rFonts w:ascii="Arial" w:eastAsia="Arial" w:hAnsi="Arial" w:cs="Times New Roman"/>
          <w:color w:val="000000"/>
          <w:kern w:val="0"/>
          <w14:ligatures w14:val="none"/>
        </w:rPr>
      </w:pPr>
    </w:p>
    <w:p w14:paraId="4C6D3921" w14:textId="3C366BAA" w:rsidR="0002097F" w:rsidRPr="0002097F" w:rsidRDefault="0002097F" w:rsidP="0002097F">
      <w:pPr>
        <w:spacing w:before="240" w:after="240" w:line="240" w:lineRule="auto"/>
        <w:jc w:val="both"/>
        <w:rPr>
          <w:rFonts w:ascii="Arial" w:eastAsia="Arial" w:hAnsi="Arial" w:cs="Arial"/>
          <w:color w:val="000000"/>
          <w:kern w:val="0"/>
          <w14:ligatures w14:val="none"/>
        </w:rPr>
      </w:pPr>
      <w:r w:rsidRPr="0002097F">
        <w:rPr>
          <w:rFonts w:ascii="Arial" w:eastAsia="Arial" w:hAnsi="Arial" w:cs="Arial"/>
          <w:b/>
          <w:bCs/>
          <w:color w:val="000000"/>
          <w:kern w:val="0"/>
          <w14:ligatures w14:val="none"/>
        </w:rPr>
        <w:t>What financial support is there for employers wishing to set up an occupational health scheme?</w:t>
      </w:r>
    </w:p>
    <w:p w14:paraId="1535936A" w14:textId="77777777" w:rsidR="0002097F" w:rsidRDefault="0002097F" w:rsidP="0002097F">
      <w:pPr>
        <w:numPr>
          <w:ilvl w:val="0"/>
          <w:numId w:val="6"/>
        </w:numPr>
        <w:spacing w:before="240" w:after="240" w:line="240" w:lineRule="auto"/>
        <w:contextualSpacing/>
        <w:jc w:val="both"/>
        <w:rPr>
          <w:rFonts w:ascii="Arial" w:eastAsia="Arial" w:hAnsi="Arial" w:cs="Times New Roman"/>
          <w:color w:val="000000"/>
          <w:kern w:val="0"/>
          <w14:ligatures w14:val="none"/>
        </w:rPr>
      </w:pPr>
      <w:r w:rsidRPr="0002097F">
        <w:rPr>
          <w:rFonts w:ascii="Arial" w:eastAsia="Arial" w:hAnsi="Arial" w:cs="Times New Roman"/>
          <w:color w:val="000000"/>
          <w:kern w:val="0"/>
          <w14:ligatures w14:val="none"/>
        </w:rPr>
        <w:t>There is no financial support available. Frontline health and social care workers and staff working in care homes for older adults are not eligible for COVID-19 vaccination as part of the national programme unless they fall into one of the three eligible groups (aged 75 or above, older adult care home resident or immunosuppressed).</w:t>
      </w:r>
    </w:p>
    <w:p w14:paraId="46F4CABD" w14:textId="77777777" w:rsidR="00132540" w:rsidRDefault="00132540" w:rsidP="00132540">
      <w:pPr>
        <w:spacing w:before="240" w:after="240" w:line="240" w:lineRule="auto"/>
        <w:contextualSpacing/>
        <w:jc w:val="both"/>
        <w:rPr>
          <w:rFonts w:ascii="Arial" w:eastAsia="Arial" w:hAnsi="Arial" w:cs="Times New Roman"/>
          <w:color w:val="000000"/>
          <w:kern w:val="0"/>
          <w14:ligatures w14:val="none"/>
        </w:rPr>
      </w:pPr>
    </w:p>
    <w:p w14:paraId="3A992173" w14:textId="77777777" w:rsidR="001926AB" w:rsidRDefault="001926AB" w:rsidP="00132540">
      <w:pPr>
        <w:spacing w:before="240" w:after="240" w:line="240" w:lineRule="auto"/>
        <w:contextualSpacing/>
        <w:jc w:val="both"/>
        <w:rPr>
          <w:rFonts w:ascii="Arial" w:eastAsia="Arial" w:hAnsi="Arial" w:cs="Times New Roman"/>
          <w:color w:val="000000"/>
          <w:kern w:val="0"/>
          <w14:ligatures w14:val="none"/>
        </w:rPr>
      </w:pPr>
    </w:p>
    <w:p w14:paraId="1AF8E6E0" w14:textId="77777777" w:rsidR="001926AB" w:rsidRDefault="001926AB" w:rsidP="00132540">
      <w:pPr>
        <w:spacing w:before="240" w:after="240" w:line="240" w:lineRule="auto"/>
        <w:contextualSpacing/>
        <w:jc w:val="both"/>
        <w:rPr>
          <w:rFonts w:ascii="Arial" w:eastAsia="Arial" w:hAnsi="Arial" w:cs="Times New Roman"/>
          <w:color w:val="000000"/>
          <w:kern w:val="0"/>
          <w14:ligatures w14:val="none"/>
        </w:rPr>
      </w:pPr>
    </w:p>
    <w:p w14:paraId="7331DCCD" w14:textId="1FA513E4" w:rsidR="00132540" w:rsidRDefault="00132540" w:rsidP="00132540">
      <w:pPr>
        <w:spacing w:before="240" w:after="240" w:line="240" w:lineRule="auto"/>
        <w:contextualSpacing/>
        <w:jc w:val="both"/>
        <w:rPr>
          <w:rFonts w:ascii="Arial" w:eastAsia="Arial" w:hAnsi="Arial" w:cs="Times New Roman"/>
          <w:color w:val="000000"/>
          <w:kern w:val="0"/>
          <w14:ligatures w14:val="none"/>
        </w:rPr>
      </w:pPr>
      <w:r w:rsidRPr="00132540">
        <w:rPr>
          <w:rFonts w:ascii="Arial" w:eastAsia="Arial" w:hAnsi="Arial" w:cs="Times New Roman"/>
          <w:color w:val="000000"/>
          <w:kern w:val="0"/>
          <w14:ligatures w14:val="none"/>
        </w:rPr>
        <w:lastRenderedPageBreak/>
        <w:t xml:space="preserve">Further background: </w:t>
      </w:r>
    </w:p>
    <w:p w14:paraId="7CAC0C22" w14:textId="77777777" w:rsidR="00132540" w:rsidRPr="00132540" w:rsidRDefault="00132540" w:rsidP="00132540">
      <w:pPr>
        <w:spacing w:before="240" w:after="240" w:line="240" w:lineRule="auto"/>
        <w:contextualSpacing/>
        <w:jc w:val="both"/>
        <w:rPr>
          <w:rFonts w:ascii="Arial" w:eastAsia="Arial" w:hAnsi="Arial" w:cs="Times New Roman"/>
          <w:color w:val="000000"/>
          <w:kern w:val="0"/>
          <w14:ligatures w14:val="none"/>
        </w:rPr>
      </w:pPr>
    </w:p>
    <w:p w14:paraId="5AF09C5B" w14:textId="77777777" w:rsidR="00132540" w:rsidRPr="00132540" w:rsidRDefault="00132540" w:rsidP="00132540">
      <w:pPr>
        <w:numPr>
          <w:ilvl w:val="1"/>
          <w:numId w:val="2"/>
        </w:numPr>
        <w:spacing w:before="240" w:after="240" w:line="240" w:lineRule="auto"/>
        <w:contextualSpacing/>
        <w:jc w:val="both"/>
        <w:rPr>
          <w:rFonts w:ascii="Arial" w:eastAsia="Arial" w:hAnsi="Arial" w:cs="Times New Roman"/>
          <w:color w:val="000000"/>
          <w:kern w:val="0"/>
          <w14:ligatures w14:val="none"/>
        </w:rPr>
      </w:pPr>
      <w:r w:rsidRPr="00132540">
        <w:rPr>
          <w:rFonts w:ascii="Arial" w:eastAsia="Arial" w:hAnsi="Arial" w:cs="Times New Roman"/>
          <w:color w:val="000000"/>
          <w:kern w:val="0"/>
          <w14:ligatures w14:val="none"/>
        </w:rPr>
        <w:t>During the pandemic, COVID-19 vaccination was prioritised for those at risk of serious outcomes from COVID-19 and those at higher risk of transmitting COVID-19 to vulnerable individuals. Along with unpaid carers and household contacts, health and social care workers were a high priority as they were at higher risk of exposure to the virus and in close contact with vulnerable people.</w:t>
      </w:r>
    </w:p>
    <w:p w14:paraId="5BAB40E0" w14:textId="77777777" w:rsidR="00132540" w:rsidRPr="00132540" w:rsidRDefault="00132540" w:rsidP="00132540">
      <w:pPr>
        <w:numPr>
          <w:ilvl w:val="1"/>
          <w:numId w:val="2"/>
        </w:numPr>
        <w:spacing w:before="240" w:after="240" w:line="240" w:lineRule="auto"/>
        <w:contextualSpacing/>
        <w:jc w:val="both"/>
        <w:rPr>
          <w:rFonts w:ascii="Arial" w:eastAsia="Arial" w:hAnsi="Arial" w:cs="Times New Roman"/>
          <w:color w:val="000000"/>
          <w:kern w:val="0"/>
          <w14:ligatures w14:val="none"/>
        </w:rPr>
      </w:pPr>
      <w:r w:rsidRPr="00132540">
        <w:rPr>
          <w:rFonts w:ascii="Arial" w:eastAsia="Arial" w:hAnsi="Arial" w:cs="Times New Roman"/>
          <w:color w:val="000000"/>
          <w:kern w:val="0"/>
          <w14:ligatures w14:val="none"/>
        </w:rPr>
        <w:t xml:space="preserve">The JCVI advised that from autumn 2024, COVID-19 vaccination for those being vaccinated to protect others from infection (indirect protection) was no longer advised as current COVID-19 vaccines do not offer effective prevention of mild infection and therefore transmission. The lack of COVID-19 seasonality additionally makes it very difficult to predict the correct time to vaccinate to provide meaningful protection ahead of a COVID-19 wave.  </w:t>
      </w:r>
    </w:p>
    <w:p w14:paraId="53E4A7D7" w14:textId="77777777" w:rsidR="00132540" w:rsidRPr="00132540" w:rsidRDefault="00132540" w:rsidP="00132540">
      <w:pPr>
        <w:numPr>
          <w:ilvl w:val="1"/>
          <w:numId w:val="2"/>
        </w:numPr>
        <w:spacing w:before="240" w:after="240" w:line="240" w:lineRule="auto"/>
        <w:contextualSpacing/>
        <w:jc w:val="both"/>
        <w:rPr>
          <w:rFonts w:ascii="Arial" w:eastAsia="Arial" w:hAnsi="Arial" w:cs="Times New Roman"/>
          <w:color w:val="000000"/>
          <w:kern w:val="0"/>
          <w14:ligatures w14:val="none"/>
        </w:rPr>
      </w:pPr>
      <w:r w:rsidRPr="00132540">
        <w:rPr>
          <w:rFonts w:ascii="Arial" w:eastAsia="Arial" w:hAnsi="Arial" w:cs="Times New Roman"/>
          <w:color w:val="000000"/>
          <w:kern w:val="0"/>
          <w14:ligatures w14:val="none"/>
        </w:rPr>
        <w:t xml:space="preserve">COVID-19 vaccination of health and social care workers continued for autumn 2024 following consideration by DHSC of whether there was a basis for vaccination on occupational health grounds, </w:t>
      </w:r>
      <w:proofErr w:type="gramStart"/>
      <w:r w:rsidRPr="00132540">
        <w:rPr>
          <w:rFonts w:ascii="Arial" w:eastAsia="Arial" w:hAnsi="Arial" w:cs="Times New Roman"/>
          <w:color w:val="000000"/>
          <w:kern w:val="0"/>
          <w14:ligatures w14:val="none"/>
        </w:rPr>
        <w:t>similar to</w:t>
      </w:r>
      <w:proofErr w:type="gramEnd"/>
      <w:r w:rsidRPr="00132540">
        <w:rPr>
          <w:rFonts w:ascii="Arial" w:eastAsia="Arial" w:hAnsi="Arial" w:cs="Times New Roman"/>
          <w:color w:val="000000"/>
          <w:kern w:val="0"/>
          <w14:ligatures w14:val="none"/>
        </w:rPr>
        <w:t xml:space="preserve"> the existing seasonal flu scheme.</w:t>
      </w:r>
    </w:p>
    <w:p w14:paraId="0607D47A" w14:textId="77777777" w:rsidR="00132540" w:rsidRPr="00132540" w:rsidRDefault="00132540" w:rsidP="00132540">
      <w:pPr>
        <w:numPr>
          <w:ilvl w:val="1"/>
          <w:numId w:val="2"/>
        </w:numPr>
        <w:spacing w:before="240" w:after="240" w:line="240" w:lineRule="auto"/>
        <w:contextualSpacing/>
        <w:jc w:val="both"/>
        <w:rPr>
          <w:rFonts w:ascii="Arial" w:eastAsia="Arial" w:hAnsi="Arial" w:cs="Times New Roman"/>
          <w:color w:val="000000"/>
          <w:kern w:val="0"/>
          <w14:ligatures w14:val="none"/>
        </w:rPr>
      </w:pPr>
      <w:r w:rsidRPr="00132540">
        <w:rPr>
          <w:rFonts w:ascii="Arial" w:eastAsia="Arial" w:hAnsi="Arial" w:cs="Times New Roman"/>
          <w:color w:val="000000"/>
          <w:kern w:val="0"/>
          <w14:ligatures w14:val="none"/>
        </w:rPr>
        <w:t>JCVI were subsequently asked for a further clinical steer on the merits or otherwise of vaccinating this group. UKHSA carried out an evidence review which was considered by the JCVI in its February 2025 meeting. The conclusions were:</w:t>
      </w:r>
    </w:p>
    <w:p w14:paraId="756EF8FA" w14:textId="77777777" w:rsidR="00132540" w:rsidRPr="00132540" w:rsidRDefault="00132540" w:rsidP="00132540">
      <w:pPr>
        <w:numPr>
          <w:ilvl w:val="2"/>
          <w:numId w:val="2"/>
        </w:numPr>
        <w:spacing w:before="240" w:after="240" w:line="240" w:lineRule="auto"/>
        <w:contextualSpacing/>
        <w:jc w:val="both"/>
        <w:rPr>
          <w:rFonts w:ascii="Arial" w:eastAsia="Arial" w:hAnsi="Arial" w:cs="Times New Roman"/>
          <w:color w:val="000000"/>
          <w:kern w:val="0"/>
          <w14:ligatures w14:val="none"/>
        </w:rPr>
      </w:pPr>
      <w:r w:rsidRPr="00132540">
        <w:rPr>
          <w:rFonts w:ascii="Arial" w:eastAsia="Arial" w:hAnsi="Arial" w:cs="Times New Roman"/>
          <w:color w:val="000000"/>
          <w:kern w:val="0"/>
          <w14:ligatures w14:val="none"/>
        </w:rPr>
        <w:t xml:space="preserve">vaccine effectiveness against mild infection had decreased significantly since 2020 and recent data indicated rapid waning of vaccine protection for </w:t>
      </w:r>
      <w:proofErr w:type="gramStart"/>
      <w:r w:rsidRPr="00132540">
        <w:rPr>
          <w:rFonts w:ascii="Arial" w:eastAsia="Arial" w:hAnsi="Arial" w:cs="Times New Roman"/>
          <w:color w:val="000000"/>
          <w:kern w:val="0"/>
          <w14:ligatures w14:val="none"/>
        </w:rPr>
        <w:t>staff;</w:t>
      </w:r>
      <w:proofErr w:type="gramEnd"/>
    </w:p>
    <w:p w14:paraId="3D52728D" w14:textId="77777777" w:rsidR="00132540" w:rsidRPr="00132540" w:rsidRDefault="00132540" w:rsidP="00132540">
      <w:pPr>
        <w:numPr>
          <w:ilvl w:val="2"/>
          <w:numId w:val="2"/>
        </w:numPr>
        <w:spacing w:before="240" w:after="240" w:line="240" w:lineRule="auto"/>
        <w:contextualSpacing/>
        <w:jc w:val="both"/>
        <w:rPr>
          <w:rFonts w:ascii="Arial" w:eastAsia="Arial" w:hAnsi="Arial" w:cs="Times New Roman"/>
          <w:color w:val="000000"/>
          <w:kern w:val="0"/>
          <w14:ligatures w14:val="none"/>
        </w:rPr>
      </w:pPr>
      <w:r w:rsidRPr="00132540">
        <w:rPr>
          <w:rFonts w:ascii="Arial" w:eastAsia="Arial" w:hAnsi="Arial" w:cs="Times New Roman"/>
          <w:color w:val="000000"/>
          <w:kern w:val="0"/>
          <w14:ligatures w14:val="none"/>
        </w:rPr>
        <w:t xml:space="preserve">although healthcare workers are occupationally exposed to COVID-19, they do not show incidence rates </w:t>
      </w:r>
      <w:proofErr w:type="gramStart"/>
      <w:r w:rsidRPr="00132540">
        <w:rPr>
          <w:rFonts w:ascii="Arial" w:eastAsia="Arial" w:hAnsi="Arial" w:cs="Times New Roman"/>
          <w:color w:val="000000"/>
          <w:kern w:val="0"/>
          <w14:ligatures w14:val="none"/>
        </w:rPr>
        <w:t>in excess of</w:t>
      </w:r>
      <w:proofErr w:type="gramEnd"/>
      <w:r w:rsidRPr="00132540">
        <w:rPr>
          <w:rFonts w:ascii="Arial" w:eastAsia="Arial" w:hAnsi="Arial" w:cs="Times New Roman"/>
          <w:color w:val="000000"/>
          <w:kern w:val="0"/>
          <w14:ligatures w14:val="none"/>
        </w:rPr>
        <w:t xml:space="preserve"> the general </w:t>
      </w:r>
      <w:proofErr w:type="gramStart"/>
      <w:r w:rsidRPr="00132540">
        <w:rPr>
          <w:rFonts w:ascii="Arial" w:eastAsia="Arial" w:hAnsi="Arial" w:cs="Times New Roman"/>
          <w:color w:val="000000"/>
          <w:kern w:val="0"/>
          <w14:ligatures w14:val="none"/>
        </w:rPr>
        <w:t>population;</w:t>
      </w:r>
      <w:proofErr w:type="gramEnd"/>
    </w:p>
    <w:p w14:paraId="1F015C13" w14:textId="77777777" w:rsidR="00132540" w:rsidRPr="00132540" w:rsidRDefault="00132540" w:rsidP="00132540">
      <w:pPr>
        <w:numPr>
          <w:ilvl w:val="2"/>
          <w:numId w:val="2"/>
        </w:numPr>
        <w:spacing w:before="240" w:after="240" w:line="240" w:lineRule="auto"/>
        <w:contextualSpacing/>
        <w:jc w:val="both"/>
        <w:rPr>
          <w:rFonts w:ascii="Arial" w:eastAsia="Arial" w:hAnsi="Arial" w:cs="Times New Roman"/>
          <w:color w:val="000000"/>
          <w:kern w:val="0"/>
          <w14:ligatures w14:val="none"/>
        </w:rPr>
      </w:pPr>
      <w:r w:rsidRPr="00132540">
        <w:rPr>
          <w:rFonts w:ascii="Arial" w:eastAsia="Arial" w:hAnsi="Arial" w:cs="Times New Roman"/>
          <w:color w:val="000000"/>
          <w:kern w:val="0"/>
          <w14:ligatures w14:val="none"/>
        </w:rPr>
        <w:t>additional vaccine doses provide only modest protection against COVID-19 symptoms for a short period of time (with protection waning rapidly after two months</w:t>
      </w:r>
      <w:proofErr w:type="gramStart"/>
      <w:r w:rsidRPr="00132540">
        <w:rPr>
          <w:rFonts w:ascii="Arial" w:eastAsia="Arial" w:hAnsi="Arial" w:cs="Times New Roman"/>
          <w:color w:val="000000"/>
          <w:kern w:val="0"/>
          <w14:ligatures w14:val="none"/>
        </w:rPr>
        <w:t>);</w:t>
      </w:r>
      <w:proofErr w:type="gramEnd"/>
    </w:p>
    <w:p w14:paraId="1235F802" w14:textId="77777777" w:rsidR="00132540" w:rsidRPr="00132540" w:rsidRDefault="00132540" w:rsidP="00132540">
      <w:pPr>
        <w:numPr>
          <w:ilvl w:val="2"/>
          <w:numId w:val="2"/>
        </w:numPr>
        <w:spacing w:before="240" w:after="240" w:line="240" w:lineRule="auto"/>
        <w:contextualSpacing/>
        <w:jc w:val="both"/>
        <w:rPr>
          <w:rFonts w:ascii="Arial" w:eastAsia="Arial" w:hAnsi="Arial" w:cs="Times New Roman"/>
          <w:color w:val="000000"/>
          <w:kern w:val="0"/>
          <w14:ligatures w14:val="none"/>
        </w:rPr>
      </w:pPr>
      <w:r w:rsidRPr="00132540">
        <w:rPr>
          <w:rFonts w:ascii="Arial" w:eastAsia="Arial" w:hAnsi="Arial" w:cs="Times New Roman"/>
          <w:color w:val="000000"/>
          <w:kern w:val="0"/>
          <w14:ligatures w14:val="none"/>
        </w:rPr>
        <w:t>it is likely COVID-19 vaccination now has only a very limited impact on reducing staff sickness absence.</w:t>
      </w:r>
    </w:p>
    <w:p w14:paraId="38BE2F85" w14:textId="77777777" w:rsidR="00132540" w:rsidRPr="0002097F" w:rsidRDefault="00132540" w:rsidP="00132540">
      <w:pPr>
        <w:spacing w:before="240" w:after="240" w:line="240" w:lineRule="auto"/>
        <w:contextualSpacing/>
        <w:jc w:val="both"/>
        <w:rPr>
          <w:rFonts w:ascii="Arial" w:eastAsia="Arial" w:hAnsi="Arial" w:cs="Times New Roman"/>
          <w:color w:val="000000"/>
          <w:kern w:val="0"/>
          <w14:ligatures w14:val="none"/>
        </w:rPr>
      </w:pPr>
    </w:p>
    <w:p w14:paraId="67B5407C" w14:textId="2E83C014" w:rsidR="0002097F" w:rsidRPr="00543217" w:rsidRDefault="00132540" w:rsidP="0002097F">
      <w:pPr>
        <w:spacing w:after="0" w:line="240" w:lineRule="auto"/>
        <w:contextualSpacing/>
        <w:jc w:val="both"/>
        <w:rPr>
          <w:rFonts w:ascii="Arial" w:eastAsia="Arial" w:hAnsi="Arial" w:cs="Times New Roman"/>
          <w:color w:val="000000"/>
          <w:kern w:val="0"/>
          <w14:ligatures w14:val="none"/>
        </w:rPr>
      </w:pPr>
      <w:r>
        <w:rPr>
          <w:rFonts w:ascii="Arial" w:eastAsia="Arial" w:hAnsi="Arial" w:cs="Times New Roman"/>
          <w:color w:val="000000"/>
          <w:kern w:val="0"/>
          <w14:ligatures w14:val="none"/>
        </w:rPr>
        <w:t>END</w:t>
      </w:r>
    </w:p>
    <w:sectPr w:rsidR="0002097F" w:rsidRPr="00543217" w:rsidSect="005432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BD0D"/>
    <w:multiLevelType w:val="hybridMultilevel"/>
    <w:tmpl w:val="85245A0C"/>
    <w:lvl w:ilvl="0" w:tplc="2F72782C">
      <w:start w:val="1"/>
      <w:numFmt w:val="bullet"/>
      <w:lvlText w:val=""/>
      <w:lvlJc w:val="left"/>
      <w:pPr>
        <w:ind w:left="720" w:hanging="360"/>
      </w:pPr>
      <w:rPr>
        <w:rFonts w:ascii="Symbol" w:hAnsi="Symbol" w:hint="default"/>
      </w:rPr>
    </w:lvl>
    <w:lvl w:ilvl="1" w:tplc="AEC66946">
      <w:start w:val="1"/>
      <w:numFmt w:val="bullet"/>
      <w:lvlText w:val=""/>
      <w:lvlJc w:val="left"/>
      <w:pPr>
        <w:ind w:left="1080" w:hanging="360"/>
      </w:pPr>
      <w:rPr>
        <w:rFonts w:ascii="Symbol" w:hAnsi="Symbol" w:hint="default"/>
      </w:rPr>
    </w:lvl>
    <w:lvl w:ilvl="2" w:tplc="253CB900">
      <w:start w:val="1"/>
      <w:numFmt w:val="bullet"/>
      <w:lvlText w:val=""/>
      <w:lvlJc w:val="left"/>
      <w:pPr>
        <w:ind w:left="2160" w:hanging="360"/>
      </w:pPr>
      <w:rPr>
        <w:rFonts w:ascii="Wingdings" w:hAnsi="Wingdings" w:hint="default"/>
      </w:rPr>
    </w:lvl>
    <w:lvl w:ilvl="3" w:tplc="B506140E">
      <w:start w:val="1"/>
      <w:numFmt w:val="bullet"/>
      <w:lvlText w:val=""/>
      <w:lvlJc w:val="left"/>
      <w:pPr>
        <w:ind w:left="2880" w:hanging="360"/>
      </w:pPr>
      <w:rPr>
        <w:rFonts w:ascii="Symbol" w:hAnsi="Symbol" w:hint="default"/>
      </w:rPr>
    </w:lvl>
    <w:lvl w:ilvl="4" w:tplc="B0F2DC54">
      <w:start w:val="1"/>
      <w:numFmt w:val="bullet"/>
      <w:lvlText w:val="o"/>
      <w:lvlJc w:val="left"/>
      <w:pPr>
        <w:ind w:left="3600" w:hanging="360"/>
      </w:pPr>
      <w:rPr>
        <w:rFonts w:ascii="Courier New" w:hAnsi="Courier New" w:cs="Times New Roman" w:hint="default"/>
      </w:rPr>
    </w:lvl>
    <w:lvl w:ilvl="5" w:tplc="468CE480">
      <w:start w:val="1"/>
      <w:numFmt w:val="bullet"/>
      <w:lvlText w:val=""/>
      <w:lvlJc w:val="left"/>
      <w:pPr>
        <w:ind w:left="4320" w:hanging="360"/>
      </w:pPr>
      <w:rPr>
        <w:rFonts w:ascii="Wingdings" w:hAnsi="Wingdings" w:hint="default"/>
      </w:rPr>
    </w:lvl>
    <w:lvl w:ilvl="6" w:tplc="C01EE688">
      <w:start w:val="1"/>
      <w:numFmt w:val="bullet"/>
      <w:lvlText w:val=""/>
      <w:lvlJc w:val="left"/>
      <w:pPr>
        <w:ind w:left="5040" w:hanging="360"/>
      </w:pPr>
      <w:rPr>
        <w:rFonts w:ascii="Symbol" w:hAnsi="Symbol" w:hint="default"/>
      </w:rPr>
    </w:lvl>
    <w:lvl w:ilvl="7" w:tplc="9DECFBF6">
      <w:start w:val="1"/>
      <w:numFmt w:val="bullet"/>
      <w:lvlText w:val="o"/>
      <w:lvlJc w:val="left"/>
      <w:pPr>
        <w:ind w:left="5760" w:hanging="360"/>
      </w:pPr>
      <w:rPr>
        <w:rFonts w:ascii="Courier New" w:hAnsi="Courier New" w:cs="Times New Roman" w:hint="default"/>
      </w:rPr>
    </w:lvl>
    <w:lvl w:ilvl="8" w:tplc="CF0E0700">
      <w:start w:val="1"/>
      <w:numFmt w:val="bullet"/>
      <w:lvlText w:val=""/>
      <w:lvlJc w:val="left"/>
      <w:pPr>
        <w:ind w:left="6480" w:hanging="360"/>
      </w:pPr>
      <w:rPr>
        <w:rFonts w:ascii="Wingdings" w:hAnsi="Wingdings" w:hint="default"/>
      </w:rPr>
    </w:lvl>
  </w:abstractNum>
  <w:abstractNum w:abstractNumId="1" w15:restartNumberingAfterBreak="0">
    <w:nsid w:val="06862417"/>
    <w:multiLevelType w:val="hybridMultilevel"/>
    <w:tmpl w:val="B33A60A0"/>
    <w:lvl w:ilvl="0" w:tplc="A8B25446">
      <w:start w:val="1"/>
      <w:numFmt w:val="decimal"/>
      <w:lvlText w:val="%1."/>
      <w:lvlJc w:val="left"/>
      <w:pPr>
        <w:ind w:left="502" w:hanging="360"/>
      </w:pPr>
    </w:lvl>
    <w:lvl w:ilvl="1" w:tplc="6D5A9F0E">
      <w:start w:val="1"/>
      <w:numFmt w:val="bullet"/>
      <w:lvlText w:val=""/>
      <w:lvlJc w:val="left"/>
      <w:pPr>
        <w:ind w:left="1080" w:hanging="360"/>
      </w:pPr>
      <w:rPr>
        <w:rFonts w:ascii="Symbol" w:hAnsi="Symbol" w:hint="default"/>
      </w:rPr>
    </w:lvl>
    <w:lvl w:ilvl="2" w:tplc="70CA55E0">
      <w:start w:val="1"/>
      <w:numFmt w:val="lowerRoman"/>
      <w:lvlText w:val="%3."/>
      <w:lvlJc w:val="right"/>
      <w:pPr>
        <w:ind w:left="2160" w:hanging="180"/>
      </w:pPr>
    </w:lvl>
    <w:lvl w:ilvl="3" w:tplc="0512BBE2">
      <w:start w:val="1"/>
      <w:numFmt w:val="decimal"/>
      <w:lvlText w:val="%4."/>
      <w:lvlJc w:val="left"/>
      <w:pPr>
        <w:ind w:left="2880" w:hanging="360"/>
      </w:pPr>
    </w:lvl>
    <w:lvl w:ilvl="4" w:tplc="71BCD07E">
      <w:start w:val="1"/>
      <w:numFmt w:val="lowerLetter"/>
      <w:lvlText w:val="%5."/>
      <w:lvlJc w:val="left"/>
      <w:pPr>
        <w:ind w:left="3600" w:hanging="360"/>
      </w:pPr>
    </w:lvl>
    <w:lvl w:ilvl="5" w:tplc="08AC15BA">
      <w:start w:val="1"/>
      <w:numFmt w:val="lowerRoman"/>
      <w:lvlText w:val="%6."/>
      <w:lvlJc w:val="right"/>
      <w:pPr>
        <w:ind w:left="4320" w:hanging="180"/>
      </w:pPr>
    </w:lvl>
    <w:lvl w:ilvl="6" w:tplc="D74E4DA0">
      <w:start w:val="1"/>
      <w:numFmt w:val="decimal"/>
      <w:lvlText w:val="%7."/>
      <w:lvlJc w:val="left"/>
      <w:pPr>
        <w:ind w:left="5040" w:hanging="360"/>
      </w:pPr>
    </w:lvl>
    <w:lvl w:ilvl="7" w:tplc="82B60830">
      <w:start w:val="1"/>
      <w:numFmt w:val="lowerLetter"/>
      <w:lvlText w:val="%8."/>
      <w:lvlJc w:val="left"/>
      <w:pPr>
        <w:ind w:left="5760" w:hanging="360"/>
      </w:pPr>
    </w:lvl>
    <w:lvl w:ilvl="8" w:tplc="86A87916">
      <w:start w:val="1"/>
      <w:numFmt w:val="lowerRoman"/>
      <w:lvlText w:val="%9."/>
      <w:lvlJc w:val="right"/>
      <w:pPr>
        <w:ind w:left="6480" w:hanging="180"/>
      </w:pPr>
    </w:lvl>
  </w:abstractNum>
  <w:abstractNum w:abstractNumId="2" w15:restartNumberingAfterBreak="0">
    <w:nsid w:val="0B0F6DFD"/>
    <w:multiLevelType w:val="hybridMultilevel"/>
    <w:tmpl w:val="5B542B68"/>
    <w:lvl w:ilvl="0" w:tplc="9976EC7E">
      <w:start w:val="1"/>
      <w:numFmt w:val="lowerLetter"/>
      <w:lvlText w:val="%1)"/>
      <w:lvlJc w:val="left"/>
      <w:pPr>
        <w:ind w:left="720" w:hanging="360"/>
      </w:pPr>
    </w:lvl>
    <w:lvl w:ilvl="1" w:tplc="38FA2938">
      <w:start w:val="1"/>
      <w:numFmt w:val="bullet"/>
      <w:lvlText w:val="o"/>
      <w:lvlJc w:val="left"/>
      <w:pPr>
        <w:ind w:left="1440" w:hanging="360"/>
      </w:pPr>
      <w:rPr>
        <w:rFonts w:ascii="Courier New" w:hAnsi="Courier New" w:cs="Times New Roman" w:hint="default"/>
      </w:rPr>
    </w:lvl>
    <w:lvl w:ilvl="2" w:tplc="BE1499B2">
      <w:start w:val="1"/>
      <w:numFmt w:val="bullet"/>
      <w:lvlText w:val=""/>
      <w:lvlJc w:val="left"/>
      <w:pPr>
        <w:ind w:left="2160" w:hanging="360"/>
      </w:pPr>
      <w:rPr>
        <w:rFonts w:ascii="Wingdings" w:hAnsi="Wingdings" w:hint="default"/>
      </w:rPr>
    </w:lvl>
    <w:lvl w:ilvl="3" w:tplc="B6020430">
      <w:start w:val="1"/>
      <w:numFmt w:val="bullet"/>
      <w:lvlText w:val=""/>
      <w:lvlJc w:val="left"/>
      <w:pPr>
        <w:ind w:left="2880" w:hanging="360"/>
      </w:pPr>
      <w:rPr>
        <w:rFonts w:ascii="Symbol" w:hAnsi="Symbol" w:hint="default"/>
      </w:rPr>
    </w:lvl>
    <w:lvl w:ilvl="4" w:tplc="14EC06E8">
      <w:start w:val="1"/>
      <w:numFmt w:val="bullet"/>
      <w:lvlText w:val="o"/>
      <w:lvlJc w:val="left"/>
      <w:pPr>
        <w:ind w:left="3600" w:hanging="360"/>
      </w:pPr>
      <w:rPr>
        <w:rFonts w:ascii="Courier New" w:hAnsi="Courier New" w:cs="Times New Roman" w:hint="default"/>
      </w:rPr>
    </w:lvl>
    <w:lvl w:ilvl="5" w:tplc="3B0EDDB4">
      <w:start w:val="1"/>
      <w:numFmt w:val="bullet"/>
      <w:lvlText w:val=""/>
      <w:lvlJc w:val="left"/>
      <w:pPr>
        <w:ind w:left="4320" w:hanging="360"/>
      </w:pPr>
      <w:rPr>
        <w:rFonts w:ascii="Wingdings" w:hAnsi="Wingdings" w:hint="default"/>
      </w:rPr>
    </w:lvl>
    <w:lvl w:ilvl="6" w:tplc="BEBCBA88">
      <w:start w:val="1"/>
      <w:numFmt w:val="bullet"/>
      <w:lvlText w:val=""/>
      <w:lvlJc w:val="left"/>
      <w:pPr>
        <w:ind w:left="5040" w:hanging="360"/>
      </w:pPr>
      <w:rPr>
        <w:rFonts w:ascii="Symbol" w:hAnsi="Symbol" w:hint="default"/>
      </w:rPr>
    </w:lvl>
    <w:lvl w:ilvl="7" w:tplc="AD2CE18E">
      <w:start w:val="1"/>
      <w:numFmt w:val="bullet"/>
      <w:lvlText w:val="o"/>
      <w:lvlJc w:val="left"/>
      <w:pPr>
        <w:ind w:left="5760" w:hanging="360"/>
      </w:pPr>
      <w:rPr>
        <w:rFonts w:ascii="Courier New" w:hAnsi="Courier New" w:cs="Times New Roman" w:hint="default"/>
      </w:rPr>
    </w:lvl>
    <w:lvl w:ilvl="8" w:tplc="988A87D6">
      <w:start w:val="1"/>
      <w:numFmt w:val="bullet"/>
      <w:lvlText w:val=""/>
      <w:lvlJc w:val="left"/>
      <w:pPr>
        <w:ind w:left="6480" w:hanging="360"/>
      </w:pPr>
      <w:rPr>
        <w:rFonts w:ascii="Wingdings" w:hAnsi="Wingdings" w:hint="default"/>
      </w:rPr>
    </w:lvl>
  </w:abstractNum>
  <w:abstractNum w:abstractNumId="3" w15:restartNumberingAfterBreak="0">
    <w:nsid w:val="225D50C2"/>
    <w:multiLevelType w:val="hybridMultilevel"/>
    <w:tmpl w:val="EFA08154"/>
    <w:lvl w:ilvl="0" w:tplc="AC00F448">
      <w:start w:val="1"/>
      <w:numFmt w:val="bullet"/>
      <w:lvlText w:val=""/>
      <w:lvlJc w:val="left"/>
      <w:pPr>
        <w:ind w:left="1080" w:hanging="360"/>
      </w:pPr>
      <w:rPr>
        <w:rFonts w:ascii="Symbol" w:hAnsi="Symbol" w:hint="default"/>
      </w:rPr>
    </w:lvl>
    <w:lvl w:ilvl="1" w:tplc="37E84C76">
      <w:start w:val="1"/>
      <w:numFmt w:val="bullet"/>
      <w:lvlText w:val="o"/>
      <w:lvlJc w:val="left"/>
      <w:pPr>
        <w:ind w:left="1800" w:hanging="360"/>
      </w:pPr>
      <w:rPr>
        <w:rFonts w:ascii="Courier New" w:hAnsi="Courier New" w:cs="Times New Roman" w:hint="default"/>
      </w:rPr>
    </w:lvl>
    <w:lvl w:ilvl="2" w:tplc="A2FC3F58">
      <w:start w:val="1"/>
      <w:numFmt w:val="bullet"/>
      <w:lvlText w:val=""/>
      <w:lvlJc w:val="left"/>
      <w:pPr>
        <w:ind w:left="2520" w:hanging="360"/>
      </w:pPr>
      <w:rPr>
        <w:rFonts w:ascii="Wingdings" w:hAnsi="Wingdings" w:hint="default"/>
      </w:rPr>
    </w:lvl>
    <w:lvl w:ilvl="3" w:tplc="62826D7A">
      <w:start w:val="1"/>
      <w:numFmt w:val="bullet"/>
      <w:lvlText w:val=""/>
      <w:lvlJc w:val="left"/>
      <w:pPr>
        <w:ind w:left="3240" w:hanging="360"/>
      </w:pPr>
      <w:rPr>
        <w:rFonts w:ascii="Symbol" w:hAnsi="Symbol" w:hint="default"/>
      </w:rPr>
    </w:lvl>
    <w:lvl w:ilvl="4" w:tplc="5AD881B0">
      <w:start w:val="1"/>
      <w:numFmt w:val="bullet"/>
      <w:lvlText w:val="o"/>
      <w:lvlJc w:val="left"/>
      <w:pPr>
        <w:ind w:left="3960" w:hanging="360"/>
      </w:pPr>
      <w:rPr>
        <w:rFonts w:ascii="Courier New" w:hAnsi="Courier New" w:cs="Times New Roman" w:hint="default"/>
      </w:rPr>
    </w:lvl>
    <w:lvl w:ilvl="5" w:tplc="9EA46B2A">
      <w:start w:val="1"/>
      <w:numFmt w:val="bullet"/>
      <w:lvlText w:val=""/>
      <w:lvlJc w:val="left"/>
      <w:pPr>
        <w:ind w:left="4680" w:hanging="360"/>
      </w:pPr>
      <w:rPr>
        <w:rFonts w:ascii="Wingdings" w:hAnsi="Wingdings" w:hint="default"/>
      </w:rPr>
    </w:lvl>
    <w:lvl w:ilvl="6" w:tplc="A316FCDC">
      <w:start w:val="1"/>
      <w:numFmt w:val="bullet"/>
      <w:lvlText w:val=""/>
      <w:lvlJc w:val="left"/>
      <w:pPr>
        <w:ind w:left="5400" w:hanging="360"/>
      </w:pPr>
      <w:rPr>
        <w:rFonts w:ascii="Symbol" w:hAnsi="Symbol" w:hint="default"/>
      </w:rPr>
    </w:lvl>
    <w:lvl w:ilvl="7" w:tplc="2C204B6A">
      <w:start w:val="1"/>
      <w:numFmt w:val="bullet"/>
      <w:lvlText w:val="o"/>
      <w:lvlJc w:val="left"/>
      <w:pPr>
        <w:ind w:left="6120" w:hanging="360"/>
      </w:pPr>
      <w:rPr>
        <w:rFonts w:ascii="Courier New" w:hAnsi="Courier New" w:cs="Times New Roman" w:hint="default"/>
      </w:rPr>
    </w:lvl>
    <w:lvl w:ilvl="8" w:tplc="83FE4268">
      <w:start w:val="1"/>
      <w:numFmt w:val="bullet"/>
      <w:lvlText w:val=""/>
      <w:lvlJc w:val="left"/>
      <w:pPr>
        <w:ind w:left="6840" w:hanging="360"/>
      </w:pPr>
      <w:rPr>
        <w:rFonts w:ascii="Wingdings" w:hAnsi="Wingdings" w:hint="default"/>
      </w:rPr>
    </w:lvl>
  </w:abstractNum>
  <w:abstractNum w:abstractNumId="4" w15:restartNumberingAfterBreak="0">
    <w:nsid w:val="2955340A"/>
    <w:multiLevelType w:val="hybridMultilevel"/>
    <w:tmpl w:val="A030C516"/>
    <w:lvl w:ilvl="0" w:tplc="78CA3F8A">
      <w:start w:val="1"/>
      <w:numFmt w:val="lowerRoman"/>
      <w:lvlText w:val="%1."/>
      <w:lvlJc w:val="left"/>
      <w:pPr>
        <w:ind w:left="1800" w:hanging="360"/>
      </w:pPr>
    </w:lvl>
    <w:lvl w:ilvl="1" w:tplc="0504CD76">
      <w:start w:val="1"/>
      <w:numFmt w:val="lowerLetter"/>
      <w:lvlText w:val="%2."/>
      <w:lvlJc w:val="left"/>
      <w:pPr>
        <w:ind w:left="2520" w:hanging="360"/>
      </w:pPr>
    </w:lvl>
    <w:lvl w:ilvl="2" w:tplc="C234E18C">
      <w:start w:val="1"/>
      <w:numFmt w:val="lowerRoman"/>
      <w:lvlText w:val="%3."/>
      <w:lvlJc w:val="right"/>
      <w:pPr>
        <w:ind w:left="3240" w:hanging="180"/>
      </w:pPr>
    </w:lvl>
    <w:lvl w:ilvl="3" w:tplc="61161F90">
      <w:start w:val="1"/>
      <w:numFmt w:val="decimal"/>
      <w:lvlText w:val="%4."/>
      <w:lvlJc w:val="left"/>
      <w:pPr>
        <w:ind w:left="3960" w:hanging="360"/>
      </w:pPr>
    </w:lvl>
    <w:lvl w:ilvl="4" w:tplc="41469234">
      <w:start w:val="1"/>
      <w:numFmt w:val="lowerLetter"/>
      <w:lvlText w:val="%5."/>
      <w:lvlJc w:val="left"/>
      <w:pPr>
        <w:ind w:left="4680" w:hanging="360"/>
      </w:pPr>
    </w:lvl>
    <w:lvl w:ilvl="5" w:tplc="394C7D16">
      <w:start w:val="1"/>
      <w:numFmt w:val="lowerRoman"/>
      <w:lvlText w:val="%6."/>
      <w:lvlJc w:val="right"/>
      <w:pPr>
        <w:ind w:left="5400" w:hanging="180"/>
      </w:pPr>
    </w:lvl>
    <w:lvl w:ilvl="6" w:tplc="35881FDC">
      <w:start w:val="1"/>
      <w:numFmt w:val="decimal"/>
      <w:lvlText w:val="%7."/>
      <w:lvlJc w:val="left"/>
      <w:pPr>
        <w:ind w:left="6120" w:hanging="360"/>
      </w:pPr>
    </w:lvl>
    <w:lvl w:ilvl="7" w:tplc="B22E0878">
      <w:start w:val="1"/>
      <w:numFmt w:val="lowerLetter"/>
      <w:lvlText w:val="%8."/>
      <w:lvlJc w:val="left"/>
      <w:pPr>
        <w:ind w:left="6840" w:hanging="360"/>
      </w:pPr>
    </w:lvl>
    <w:lvl w:ilvl="8" w:tplc="265A90CE">
      <w:start w:val="1"/>
      <w:numFmt w:val="lowerRoman"/>
      <w:lvlText w:val="%9."/>
      <w:lvlJc w:val="right"/>
      <w:pPr>
        <w:ind w:left="7560" w:hanging="180"/>
      </w:pPr>
    </w:lvl>
  </w:abstractNum>
  <w:abstractNum w:abstractNumId="5" w15:restartNumberingAfterBreak="0">
    <w:nsid w:val="75F1A45F"/>
    <w:multiLevelType w:val="hybridMultilevel"/>
    <w:tmpl w:val="EE8AED7A"/>
    <w:lvl w:ilvl="0" w:tplc="EFCE68D4">
      <w:start w:val="1"/>
      <w:numFmt w:val="bullet"/>
      <w:lvlText w:val=""/>
      <w:lvlJc w:val="left"/>
      <w:pPr>
        <w:ind w:left="1080" w:hanging="360"/>
      </w:pPr>
      <w:rPr>
        <w:rFonts w:ascii="Symbol" w:hAnsi="Symbol" w:hint="default"/>
      </w:rPr>
    </w:lvl>
    <w:lvl w:ilvl="1" w:tplc="FA4E4A44">
      <w:start w:val="1"/>
      <w:numFmt w:val="bullet"/>
      <w:lvlText w:val="o"/>
      <w:lvlJc w:val="left"/>
      <w:pPr>
        <w:ind w:left="1800" w:hanging="360"/>
      </w:pPr>
      <w:rPr>
        <w:rFonts w:ascii="Courier New" w:hAnsi="Courier New" w:cs="Times New Roman" w:hint="default"/>
      </w:rPr>
    </w:lvl>
    <w:lvl w:ilvl="2" w:tplc="679AE460">
      <w:start w:val="1"/>
      <w:numFmt w:val="bullet"/>
      <w:lvlText w:val=""/>
      <w:lvlJc w:val="left"/>
      <w:pPr>
        <w:ind w:left="2520" w:hanging="360"/>
      </w:pPr>
      <w:rPr>
        <w:rFonts w:ascii="Wingdings" w:hAnsi="Wingdings" w:hint="default"/>
      </w:rPr>
    </w:lvl>
    <w:lvl w:ilvl="3" w:tplc="ED707918">
      <w:start w:val="1"/>
      <w:numFmt w:val="bullet"/>
      <w:lvlText w:val=""/>
      <w:lvlJc w:val="left"/>
      <w:pPr>
        <w:ind w:left="3240" w:hanging="360"/>
      </w:pPr>
      <w:rPr>
        <w:rFonts w:ascii="Symbol" w:hAnsi="Symbol" w:hint="default"/>
      </w:rPr>
    </w:lvl>
    <w:lvl w:ilvl="4" w:tplc="F4644968">
      <w:start w:val="1"/>
      <w:numFmt w:val="bullet"/>
      <w:lvlText w:val="o"/>
      <w:lvlJc w:val="left"/>
      <w:pPr>
        <w:ind w:left="3960" w:hanging="360"/>
      </w:pPr>
      <w:rPr>
        <w:rFonts w:ascii="Courier New" w:hAnsi="Courier New" w:cs="Times New Roman" w:hint="default"/>
      </w:rPr>
    </w:lvl>
    <w:lvl w:ilvl="5" w:tplc="B1CEC84E">
      <w:start w:val="1"/>
      <w:numFmt w:val="bullet"/>
      <w:lvlText w:val=""/>
      <w:lvlJc w:val="left"/>
      <w:pPr>
        <w:ind w:left="4680" w:hanging="360"/>
      </w:pPr>
      <w:rPr>
        <w:rFonts w:ascii="Wingdings" w:hAnsi="Wingdings" w:hint="default"/>
      </w:rPr>
    </w:lvl>
    <w:lvl w:ilvl="6" w:tplc="E3C0C764">
      <w:start w:val="1"/>
      <w:numFmt w:val="bullet"/>
      <w:lvlText w:val=""/>
      <w:lvlJc w:val="left"/>
      <w:pPr>
        <w:ind w:left="5400" w:hanging="360"/>
      </w:pPr>
      <w:rPr>
        <w:rFonts w:ascii="Symbol" w:hAnsi="Symbol" w:hint="default"/>
      </w:rPr>
    </w:lvl>
    <w:lvl w:ilvl="7" w:tplc="D136B60E">
      <w:start w:val="1"/>
      <w:numFmt w:val="bullet"/>
      <w:lvlText w:val="o"/>
      <w:lvlJc w:val="left"/>
      <w:pPr>
        <w:ind w:left="6120" w:hanging="360"/>
      </w:pPr>
      <w:rPr>
        <w:rFonts w:ascii="Courier New" w:hAnsi="Courier New" w:cs="Times New Roman" w:hint="default"/>
      </w:rPr>
    </w:lvl>
    <w:lvl w:ilvl="8" w:tplc="CE30C524">
      <w:start w:val="1"/>
      <w:numFmt w:val="bullet"/>
      <w:lvlText w:val=""/>
      <w:lvlJc w:val="left"/>
      <w:pPr>
        <w:ind w:left="6840" w:hanging="360"/>
      </w:pPr>
      <w:rPr>
        <w:rFonts w:ascii="Wingdings" w:hAnsi="Wingdings" w:hint="default"/>
      </w:rPr>
    </w:lvl>
  </w:abstractNum>
  <w:num w:numId="1" w16cid:durableId="1503399402">
    <w:abstractNumId w:val="0"/>
    <w:lvlOverride w:ilvl="0"/>
    <w:lvlOverride w:ilvl="1"/>
    <w:lvlOverride w:ilvl="2"/>
    <w:lvlOverride w:ilvl="3"/>
    <w:lvlOverride w:ilvl="4"/>
    <w:lvlOverride w:ilvl="5"/>
    <w:lvlOverride w:ilvl="6"/>
    <w:lvlOverride w:ilvl="7"/>
    <w:lvlOverride w:ilvl="8"/>
  </w:num>
  <w:num w:numId="2" w16cid:durableId="125543257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416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4412395">
    <w:abstractNumId w:val="2"/>
    <w:lvlOverride w:ilvl="0">
      <w:startOverride w:val="1"/>
    </w:lvlOverride>
    <w:lvlOverride w:ilvl="1"/>
    <w:lvlOverride w:ilvl="2"/>
    <w:lvlOverride w:ilvl="3"/>
    <w:lvlOverride w:ilvl="4"/>
    <w:lvlOverride w:ilvl="5"/>
    <w:lvlOverride w:ilvl="6"/>
    <w:lvlOverride w:ilvl="7"/>
    <w:lvlOverride w:ilvl="8"/>
  </w:num>
  <w:num w:numId="5" w16cid:durableId="426536233">
    <w:abstractNumId w:val="3"/>
    <w:lvlOverride w:ilvl="0"/>
    <w:lvlOverride w:ilvl="1"/>
    <w:lvlOverride w:ilvl="2"/>
    <w:lvlOverride w:ilvl="3"/>
    <w:lvlOverride w:ilvl="4"/>
    <w:lvlOverride w:ilvl="5"/>
    <w:lvlOverride w:ilvl="6"/>
    <w:lvlOverride w:ilvl="7"/>
    <w:lvlOverride w:ilvl="8"/>
  </w:num>
  <w:num w:numId="6" w16cid:durableId="58637796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17"/>
    <w:rsid w:val="0002097F"/>
    <w:rsid w:val="00132540"/>
    <w:rsid w:val="00153D09"/>
    <w:rsid w:val="00187C9B"/>
    <w:rsid w:val="001926AB"/>
    <w:rsid w:val="00415B86"/>
    <w:rsid w:val="00430668"/>
    <w:rsid w:val="004C728D"/>
    <w:rsid w:val="00543217"/>
    <w:rsid w:val="00633666"/>
    <w:rsid w:val="00793BCA"/>
    <w:rsid w:val="009E74CF"/>
    <w:rsid w:val="00BA64F3"/>
    <w:rsid w:val="00C549F2"/>
    <w:rsid w:val="00C655AC"/>
    <w:rsid w:val="00F6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B9B8"/>
  <w15:chartTrackingRefBased/>
  <w15:docId w15:val="{0362F738-77BE-40D4-AE43-6663CA59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217"/>
    <w:rPr>
      <w:rFonts w:eastAsiaTheme="majorEastAsia" w:cstheme="majorBidi"/>
      <w:color w:val="272727" w:themeColor="text1" w:themeTint="D8"/>
    </w:rPr>
  </w:style>
  <w:style w:type="paragraph" w:styleId="Title">
    <w:name w:val="Title"/>
    <w:basedOn w:val="Normal"/>
    <w:next w:val="Normal"/>
    <w:link w:val="TitleChar"/>
    <w:uiPriority w:val="10"/>
    <w:qFormat/>
    <w:rsid w:val="00543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217"/>
    <w:pPr>
      <w:spacing w:before="160"/>
      <w:jc w:val="center"/>
    </w:pPr>
    <w:rPr>
      <w:i/>
      <w:iCs/>
      <w:color w:val="404040" w:themeColor="text1" w:themeTint="BF"/>
    </w:rPr>
  </w:style>
  <w:style w:type="character" w:customStyle="1" w:styleId="QuoteChar">
    <w:name w:val="Quote Char"/>
    <w:basedOn w:val="DefaultParagraphFont"/>
    <w:link w:val="Quote"/>
    <w:uiPriority w:val="29"/>
    <w:rsid w:val="00543217"/>
    <w:rPr>
      <w:i/>
      <w:iCs/>
      <w:color w:val="404040" w:themeColor="text1" w:themeTint="BF"/>
    </w:rPr>
  </w:style>
  <w:style w:type="paragraph" w:styleId="ListParagraph">
    <w:name w:val="List Paragraph"/>
    <w:basedOn w:val="Normal"/>
    <w:uiPriority w:val="34"/>
    <w:qFormat/>
    <w:rsid w:val="00543217"/>
    <w:pPr>
      <w:ind w:left="720"/>
      <w:contextualSpacing/>
    </w:pPr>
  </w:style>
  <w:style w:type="character" w:styleId="IntenseEmphasis">
    <w:name w:val="Intense Emphasis"/>
    <w:basedOn w:val="DefaultParagraphFont"/>
    <w:uiPriority w:val="21"/>
    <w:qFormat/>
    <w:rsid w:val="00543217"/>
    <w:rPr>
      <w:i/>
      <w:iCs/>
      <w:color w:val="0F4761" w:themeColor="accent1" w:themeShade="BF"/>
    </w:rPr>
  </w:style>
  <w:style w:type="paragraph" w:styleId="IntenseQuote">
    <w:name w:val="Intense Quote"/>
    <w:basedOn w:val="Normal"/>
    <w:next w:val="Normal"/>
    <w:link w:val="IntenseQuoteChar"/>
    <w:uiPriority w:val="30"/>
    <w:qFormat/>
    <w:rsid w:val="00543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217"/>
    <w:rPr>
      <w:i/>
      <w:iCs/>
      <w:color w:val="0F4761" w:themeColor="accent1" w:themeShade="BF"/>
    </w:rPr>
  </w:style>
  <w:style w:type="character" w:styleId="IntenseReference">
    <w:name w:val="Intense Reference"/>
    <w:basedOn w:val="DefaultParagraphFont"/>
    <w:uiPriority w:val="32"/>
    <w:qFormat/>
    <w:rsid w:val="005432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0053">
      <w:bodyDiv w:val="1"/>
      <w:marLeft w:val="0"/>
      <w:marRight w:val="0"/>
      <w:marTop w:val="0"/>
      <w:marBottom w:val="0"/>
      <w:divBdr>
        <w:top w:val="none" w:sz="0" w:space="0" w:color="auto"/>
        <w:left w:val="none" w:sz="0" w:space="0" w:color="auto"/>
        <w:bottom w:val="none" w:sz="0" w:space="0" w:color="auto"/>
        <w:right w:val="none" w:sz="0" w:space="0" w:color="auto"/>
      </w:divBdr>
    </w:div>
    <w:div w:id="645084148">
      <w:bodyDiv w:val="1"/>
      <w:marLeft w:val="0"/>
      <w:marRight w:val="0"/>
      <w:marTop w:val="0"/>
      <w:marBottom w:val="0"/>
      <w:divBdr>
        <w:top w:val="none" w:sz="0" w:space="0" w:color="auto"/>
        <w:left w:val="none" w:sz="0" w:space="0" w:color="auto"/>
        <w:bottom w:val="none" w:sz="0" w:space="0" w:color="auto"/>
        <w:right w:val="none" w:sz="0" w:space="0" w:color="auto"/>
      </w:divBdr>
    </w:div>
    <w:div w:id="1596285504">
      <w:bodyDiv w:val="1"/>
      <w:marLeft w:val="0"/>
      <w:marRight w:val="0"/>
      <w:marTop w:val="0"/>
      <w:marBottom w:val="0"/>
      <w:divBdr>
        <w:top w:val="none" w:sz="0" w:space="0" w:color="auto"/>
        <w:left w:val="none" w:sz="0" w:space="0" w:color="auto"/>
        <w:bottom w:val="none" w:sz="0" w:space="0" w:color="auto"/>
        <w:right w:val="none" w:sz="0" w:space="0" w:color="auto"/>
      </w:divBdr>
    </w:div>
    <w:div w:id="160681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174</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MESSOM, Daniel (NHS ENGLAND)</dc:creator>
  <cp:keywords/>
  <dc:description/>
  <cp:lastModifiedBy>MESSOM, Daniel (NHS ENGLAND)</cp:lastModifiedBy>
  <cp:revision>13</cp:revision>
  <dcterms:created xsi:type="dcterms:W3CDTF">2025-10-08T12:07:00Z</dcterms:created>
  <dcterms:modified xsi:type="dcterms:W3CDTF">2025-10-09T08:40:00Z</dcterms:modified>
</cp:coreProperties>
</file>